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94F" w:rsidRPr="00162E7A" w:rsidRDefault="0024194F" w:rsidP="001966F2">
      <w:pPr>
        <w:spacing w:before="120" w:after="120" w:line="256" w:lineRule="auto"/>
        <w:contextualSpacing/>
        <w:jc w:val="center"/>
        <w:rPr>
          <w:rFonts w:ascii="Calibri" w:eastAsia="Calibri" w:hAnsi="Calibri" w:cs="Arial"/>
          <w:b/>
          <w:bCs/>
          <w:sz w:val="48"/>
          <w:szCs w:val="48"/>
        </w:rPr>
      </w:pPr>
      <w:r w:rsidRPr="00162E7A">
        <w:rPr>
          <w:rFonts w:ascii="Calibri" w:eastAsia="Calibri" w:hAnsi="Calibri" w:cs="Arial"/>
          <w:b/>
          <w:bCs/>
          <w:sz w:val="48"/>
          <w:szCs w:val="48"/>
          <w:rtl/>
        </w:rPr>
        <w:t>بلاغ صحفي</w:t>
      </w:r>
    </w:p>
    <w:p w:rsidR="0024194F" w:rsidRDefault="0024194F" w:rsidP="001966F2">
      <w:pPr>
        <w:spacing w:before="120" w:after="120" w:line="256" w:lineRule="auto"/>
        <w:contextualSpacing/>
        <w:jc w:val="center"/>
        <w:rPr>
          <w:rFonts w:ascii="Calibri" w:eastAsia="Calibri" w:hAnsi="Calibri" w:cs="Arial"/>
          <w:b/>
          <w:bCs/>
        </w:rPr>
      </w:pPr>
      <w:r w:rsidRPr="0024194F">
        <w:rPr>
          <w:rFonts w:ascii="Calibri" w:eastAsia="Calibri" w:hAnsi="Calibri" w:cs="Arial"/>
          <w:b/>
          <w:bCs/>
          <w:rtl/>
        </w:rPr>
        <w:t>الرباط 20 ماي 2020</w:t>
      </w:r>
    </w:p>
    <w:p w:rsidR="001966F2" w:rsidRDefault="001966F2" w:rsidP="001966F2">
      <w:pPr>
        <w:spacing w:before="120" w:after="120" w:line="256" w:lineRule="auto"/>
        <w:contextualSpacing/>
        <w:jc w:val="center"/>
        <w:rPr>
          <w:rFonts w:ascii="Calibri" w:eastAsia="Calibri" w:hAnsi="Calibri" w:cs="Arial"/>
          <w:b/>
          <w:bCs/>
        </w:rPr>
      </w:pPr>
    </w:p>
    <w:p w:rsidR="001966F2" w:rsidRPr="0024194F" w:rsidRDefault="001966F2" w:rsidP="001966F2">
      <w:pPr>
        <w:spacing w:before="120" w:after="120" w:line="256" w:lineRule="auto"/>
        <w:contextualSpacing/>
        <w:jc w:val="center"/>
        <w:rPr>
          <w:rFonts w:ascii="Calibri" w:eastAsia="Calibri" w:hAnsi="Calibri" w:cs="Arial"/>
          <w:b/>
          <w:bCs/>
        </w:rPr>
      </w:pPr>
    </w:p>
    <w:p w:rsidR="0024194F" w:rsidRPr="00162E7A" w:rsidRDefault="0024194F" w:rsidP="00162E7A">
      <w:pPr>
        <w:spacing w:after="200" w:line="276" w:lineRule="auto"/>
        <w:ind w:firstLine="284"/>
        <w:jc w:val="right"/>
        <w:rPr>
          <w:rFonts w:ascii="Calibri" w:eastAsia="Times New Roman" w:hAnsi="Calibri" w:cs="Arial"/>
          <w:b/>
          <w:bCs/>
          <w:sz w:val="32"/>
          <w:szCs w:val="32"/>
          <w:lang w:eastAsia="fr-FR" w:bidi="ar-MA"/>
        </w:rPr>
      </w:pPr>
      <w:r w:rsidRPr="00162E7A">
        <w:rPr>
          <w:rFonts w:ascii="Calibri" w:eastAsia="Times New Roman" w:hAnsi="Calibri" w:cs="Arial"/>
          <w:b/>
          <w:bCs/>
          <w:sz w:val="32"/>
          <w:szCs w:val="32"/>
          <w:rtl/>
          <w:lang w:eastAsia="fr-FR" w:bidi="ar-MA"/>
        </w:rPr>
        <w:t>تعميم مسطرة الدراسة القبلية وإعادة دراسة ملفات طلبات الترخيص العالقة لتعزيز الثقة وتشجيع الاستثمار في قطاع البناء</w:t>
      </w:r>
    </w:p>
    <w:p w:rsidR="00162E7A" w:rsidRPr="0024194F" w:rsidRDefault="00162E7A" w:rsidP="0024194F">
      <w:pPr>
        <w:spacing w:after="200" w:line="276" w:lineRule="auto"/>
        <w:ind w:firstLine="284"/>
        <w:jc w:val="center"/>
        <w:rPr>
          <w:rFonts w:ascii="Calibri" w:eastAsia="Times New Roman" w:hAnsi="Calibri" w:cs="Arial"/>
          <w:b/>
          <w:bCs/>
          <w:rtl/>
          <w:lang w:eastAsia="fr-FR" w:bidi="ar-MA"/>
        </w:rPr>
      </w:pPr>
    </w:p>
    <w:p w:rsidR="0024194F" w:rsidRPr="00162E7A" w:rsidRDefault="0024194F" w:rsidP="005D188E">
      <w:pPr>
        <w:bidi/>
        <w:spacing w:after="200" w:line="276" w:lineRule="auto"/>
        <w:jc w:val="both"/>
        <w:rPr>
          <w:rFonts w:ascii="Sakkal Majalla" w:eastAsia="Times New Roman" w:hAnsi="Sakkal Majalla" w:cs="Sakkal Majalla"/>
          <w:b/>
          <w:bCs/>
          <w:color w:val="000000"/>
          <w:sz w:val="32"/>
          <w:szCs w:val="32"/>
          <w:rtl/>
          <w:lang w:val="en-US" w:eastAsia="fr-FR" w:bidi="ar-MA"/>
        </w:rPr>
      </w:pPr>
      <w:r w:rsidRPr="00162E7A">
        <w:rPr>
          <w:rFonts w:ascii="Sakkal Majalla" w:eastAsia="Times New Roman" w:hAnsi="Sakkal Majalla" w:cs="Sakkal Majalla"/>
          <w:b/>
          <w:bCs/>
          <w:color w:val="000000"/>
          <w:sz w:val="32"/>
          <w:szCs w:val="32"/>
          <w:rtl/>
          <w:lang w:val="en-US" w:eastAsia="fr-FR" w:bidi="ar-MA"/>
        </w:rPr>
        <w:t xml:space="preserve">في إطار إسهامات وزارة إعداد التراب الوطني والتعمير والإسكان وسياسة المدينة في الحد من آثار وتداعيات جائحة </w:t>
      </w:r>
      <w:proofErr w:type="spellStart"/>
      <w:r w:rsidRPr="00162E7A">
        <w:rPr>
          <w:rFonts w:ascii="Sakkal Majalla" w:eastAsia="Times New Roman" w:hAnsi="Sakkal Majalla" w:cs="Sakkal Majalla"/>
          <w:b/>
          <w:bCs/>
          <w:color w:val="000000"/>
          <w:sz w:val="32"/>
          <w:szCs w:val="32"/>
          <w:rtl/>
          <w:lang w:val="en-US" w:eastAsia="fr-FR" w:bidi="ar-MA"/>
        </w:rPr>
        <w:t>كوفيد</w:t>
      </w:r>
      <w:proofErr w:type="spellEnd"/>
      <w:r w:rsidRPr="00162E7A">
        <w:rPr>
          <w:rFonts w:ascii="Sakkal Majalla" w:eastAsia="Times New Roman" w:hAnsi="Sakkal Majalla" w:cs="Sakkal Majalla"/>
          <w:b/>
          <w:bCs/>
          <w:color w:val="000000"/>
          <w:sz w:val="32"/>
          <w:szCs w:val="32"/>
          <w:rtl/>
          <w:lang w:val="en-US" w:eastAsia="fr-FR" w:bidi="ar-MA"/>
        </w:rPr>
        <w:t xml:space="preserve"> </w:t>
      </w:r>
      <w:r w:rsidR="005D188E">
        <w:rPr>
          <w:rFonts w:ascii="Sakkal Majalla" w:eastAsia="Times New Roman" w:hAnsi="Sakkal Majalla" w:cs="Sakkal Majalla" w:hint="cs"/>
          <w:b/>
          <w:bCs/>
          <w:color w:val="000000"/>
          <w:sz w:val="32"/>
          <w:szCs w:val="32"/>
          <w:rtl/>
          <w:lang w:val="en-US" w:eastAsia="fr-FR" w:bidi="ar-MA"/>
        </w:rPr>
        <w:t>-</w:t>
      </w:r>
      <w:r w:rsidRPr="00162E7A">
        <w:rPr>
          <w:rFonts w:ascii="Sakkal Majalla" w:eastAsia="Times New Roman" w:hAnsi="Sakkal Majalla" w:cs="Sakkal Majalla"/>
          <w:b/>
          <w:bCs/>
          <w:color w:val="000000"/>
          <w:sz w:val="32"/>
          <w:szCs w:val="32"/>
          <w:rtl/>
          <w:lang w:val="en-US" w:eastAsia="fr-FR" w:bidi="ar-MA"/>
        </w:rPr>
        <w:t xml:space="preserve">19 على الاقتصاد الوطني وإرساء مناخ أعمال مستقر وجذاب وملائم لإعادة إطلاق دينامية الاستثمار، وجهت السيدة نزهة بوشارب رسالة دورية تحت عدد 209 بتاريخ 12 ماي 2020، إلى السيدات والسادة </w:t>
      </w:r>
      <w:r w:rsidR="005D188E">
        <w:rPr>
          <w:rFonts w:ascii="Sakkal Majalla" w:eastAsia="Times New Roman" w:hAnsi="Sakkal Majalla" w:cs="Sakkal Majalla" w:hint="cs"/>
          <w:b/>
          <w:bCs/>
          <w:color w:val="000000"/>
          <w:sz w:val="32"/>
          <w:szCs w:val="32"/>
          <w:rtl/>
          <w:lang w:val="en-US" w:eastAsia="fr-FR" w:bidi="ar-MA"/>
        </w:rPr>
        <w:t>مديري</w:t>
      </w:r>
      <w:r w:rsidRPr="00162E7A">
        <w:rPr>
          <w:rFonts w:ascii="Sakkal Majalla" w:eastAsia="Times New Roman" w:hAnsi="Sakkal Majalla" w:cs="Sakkal Majalla"/>
          <w:b/>
          <w:bCs/>
          <w:color w:val="000000"/>
          <w:sz w:val="32"/>
          <w:szCs w:val="32"/>
          <w:rtl/>
          <w:lang w:val="en-US" w:eastAsia="fr-FR" w:bidi="ar-MA"/>
        </w:rPr>
        <w:t xml:space="preserve"> الوكالات الحضرية الخاضعة لوصايتها  بخصوص إعادة دراسة المشاريع العالقة التي كانت موضوع طلبات لرخص التعمير.</w:t>
      </w:r>
    </w:p>
    <w:p w:rsidR="0024194F" w:rsidRPr="00162E7A" w:rsidRDefault="0024194F" w:rsidP="005D188E">
      <w:pPr>
        <w:bidi/>
        <w:spacing w:after="200" w:line="276" w:lineRule="auto"/>
        <w:jc w:val="both"/>
        <w:rPr>
          <w:rFonts w:ascii="Sakkal Majalla" w:eastAsia="Times New Roman" w:hAnsi="Sakkal Majalla" w:cs="Sakkal Majalla"/>
          <w:b/>
          <w:bCs/>
          <w:color w:val="000000"/>
          <w:sz w:val="32"/>
          <w:szCs w:val="32"/>
          <w:rtl/>
          <w:lang w:val="en-US" w:eastAsia="fr-FR" w:bidi="ar-MA"/>
        </w:rPr>
      </w:pPr>
      <w:r w:rsidRPr="00162E7A">
        <w:rPr>
          <w:rFonts w:ascii="Sakkal Majalla" w:eastAsia="Times New Roman" w:hAnsi="Sakkal Majalla" w:cs="Sakkal Majalla"/>
          <w:b/>
          <w:bCs/>
          <w:color w:val="000000"/>
          <w:sz w:val="32"/>
          <w:szCs w:val="32"/>
          <w:rtl/>
          <w:lang w:val="en-US" w:eastAsia="fr-FR" w:bidi="ar-MA"/>
        </w:rPr>
        <w:t>و تأتي هذه الدورية ت</w:t>
      </w:r>
      <w:r w:rsidR="005D188E">
        <w:rPr>
          <w:rFonts w:ascii="Sakkal Majalla" w:eastAsia="Times New Roman" w:hAnsi="Sakkal Majalla" w:cs="Sakkal Majalla" w:hint="cs"/>
          <w:b/>
          <w:bCs/>
          <w:color w:val="000000"/>
          <w:sz w:val="32"/>
          <w:szCs w:val="32"/>
          <w:rtl/>
          <w:lang w:val="en-US" w:eastAsia="fr-FR" w:bidi="ar-MA"/>
        </w:rPr>
        <w:t>فعيلا</w:t>
      </w:r>
      <w:r w:rsidRPr="00162E7A">
        <w:rPr>
          <w:rFonts w:ascii="Sakkal Majalla" w:eastAsia="Times New Roman" w:hAnsi="Sakkal Majalla" w:cs="Sakkal Majalla"/>
          <w:b/>
          <w:bCs/>
          <w:color w:val="000000"/>
          <w:sz w:val="32"/>
          <w:szCs w:val="32"/>
          <w:rtl/>
          <w:lang w:val="en-US" w:eastAsia="fr-FR" w:bidi="ar-MA"/>
        </w:rPr>
        <w:t xml:space="preserve"> للاستنتاجات التي خلصت </w:t>
      </w:r>
      <w:r w:rsidR="005D188E">
        <w:rPr>
          <w:rFonts w:ascii="Sakkal Majalla" w:eastAsia="Times New Roman" w:hAnsi="Sakkal Majalla" w:cs="Sakkal Majalla" w:hint="cs"/>
          <w:b/>
          <w:bCs/>
          <w:color w:val="000000"/>
          <w:sz w:val="32"/>
          <w:szCs w:val="32"/>
          <w:rtl/>
          <w:lang w:val="en-US" w:eastAsia="fr-FR" w:bidi="ar-MA"/>
        </w:rPr>
        <w:t>إ</w:t>
      </w:r>
      <w:r w:rsidRPr="00162E7A">
        <w:rPr>
          <w:rFonts w:ascii="Sakkal Majalla" w:eastAsia="Times New Roman" w:hAnsi="Sakkal Majalla" w:cs="Sakkal Majalla"/>
          <w:b/>
          <w:bCs/>
          <w:color w:val="000000"/>
          <w:sz w:val="32"/>
          <w:szCs w:val="32"/>
          <w:rtl/>
          <w:lang w:val="en-US" w:eastAsia="fr-FR" w:bidi="ar-MA"/>
        </w:rPr>
        <w:t>ل</w:t>
      </w:r>
      <w:r w:rsidR="005D188E">
        <w:rPr>
          <w:rFonts w:ascii="Sakkal Majalla" w:eastAsia="Times New Roman" w:hAnsi="Sakkal Majalla" w:cs="Sakkal Majalla" w:hint="cs"/>
          <w:b/>
          <w:bCs/>
          <w:color w:val="000000"/>
          <w:sz w:val="32"/>
          <w:szCs w:val="32"/>
          <w:rtl/>
          <w:lang w:val="en-US" w:eastAsia="fr-FR" w:bidi="ar-MA"/>
        </w:rPr>
        <w:t>ي</w:t>
      </w:r>
      <w:r w:rsidRPr="00162E7A">
        <w:rPr>
          <w:rFonts w:ascii="Sakkal Majalla" w:eastAsia="Times New Roman" w:hAnsi="Sakkal Majalla" w:cs="Sakkal Majalla"/>
          <w:b/>
          <w:bCs/>
          <w:color w:val="000000"/>
          <w:sz w:val="32"/>
          <w:szCs w:val="32"/>
          <w:rtl/>
          <w:lang w:val="en-US" w:eastAsia="fr-FR" w:bidi="ar-MA"/>
        </w:rPr>
        <w:t xml:space="preserve">ها الوزارة تبعا لدراسة مختلف التقارير والدراسات التقييمية لطلبات رخص البناء </w:t>
      </w:r>
      <w:proofErr w:type="spellStart"/>
      <w:r w:rsidRPr="00162E7A">
        <w:rPr>
          <w:rFonts w:ascii="Sakkal Majalla" w:eastAsia="Times New Roman" w:hAnsi="Sakkal Majalla" w:cs="Sakkal Majalla"/>
          <w:b/>
          <w:bCs/>
          <w:color w:val="000000"/>
          <w:sz w:val="32"/>
          <w:szCs w:val="32"/>
          <w:rtl/>
          <w:lang w:val="en-US" w:eastAsia="fr-FR" w:bidi="ar-MA"/>
        </w:rPr>
        <w:t>والتجزيء</w:t>
      </w:r>
      <w:proofErr w:type="spellEnd"/>
      <w:r w:rsidRPr="00162E7A">
        <w:rPr>
          <w:rFonts w:ascii="Sakkal Majalla" w:eastAsia="Times New Roman" w:hAnsi="Sakkal Majalla" w:cs="Sakkal Majalla"/>
          <w:b/>
          <w:bCs/>
          <w:color w:val="000000"/>
          <w:sz w:val="32"/>
          <w:szCs w:val="32"/>
          <w:rtl/>
          <w:lang w:val="en-US" w:eastAsia="fr-FR" w:bidi="ar-MA"/>
        </w:rPr>
        <w:t xml:space="preserve"> وإحداث المجموعات السكنية وتقسيم العقارات</w:t>
      </w:r>
      <w:r w:rsidR="005D188E">
        <w:rPr>
          <w:rFonts w:ascii="Sakkal Majalla" w:eastAsia="Times New Roman" w:hAnsi="Sakkal Majalla" w:cs="Sakkal Majalla" w:hint="cs"/>
          <w:b/>
          <w:bCs/>
          <w:color w:val="000000"/>
          <w:sz w:val="32"/>
          <w:szCs w:val="32"/>
          <w:rtl/>
          <w:lang w:val="en-US" w:eastAsia="fr-FR" w:bidi="ar-MA"/>
        </w:rPr>
        <w:t>،</w:t>
      </w:r>
      <w:r w:rsidRPr="00162E7A">
        <w:rPr>
          <w:rFonts w:ascii="Sakkal Majalla" w:eastAsia="Times New Roman" w:hAnsi="Sakkal Majalla" w:cs="Sakkal Majalla"/>
          <w:b/>
          <w:bCs/>
          <w:color w:val="000000"/>
          <w:sz w:val="32"/>
          <w:szCs w:val="32"/>
          <w:rtl/>
          <w:lang w:val="en-US" w:eastAsia="fr-FR" w:bidi="ar-MA"/>
        </w:rPr>
        <w:t xml:space="preserve"> خاصة بعد استصدار المرسوم القاضي بالموافقة على ضابط البناء العام المحدد لشكل وشروط تسليم الرخص والوثائق وكذا ما يتم تداوله باجتماعات المجالس الإدارية للوكالات الحضرية بهذا الخصوص، والتي تنص على  عدم بلوغ مستوى النجاعة المنشود سواء في</w:t>
      </w:r>
      <w:r w:rsidR="005D188E">
        <w:rPr>
          <w:rFonts w:ascii="Sakkal Majalla" w:eastAsia="Times New Roman" w:hAnsi="Sakkal Majalla" w:cs="Sakkal Majalla" w:hint="cs"/>
          <w:b/>
          <w:bCs/>
          <w:color w:val="000000"/>
          <w:sz w:val="32"/>
          <w:szCs w:val="32"/>
          <w:rtl/>
          <w:lang w:val="en-US" w:eastAsia="fr-FR" w:bidi="ar-MA"/>
        </w:rPr>
        <w:t xml:space="preserve"> </w:t>
      </w:r>
      <w:r w:rsidRPr="00162E7A">
        <w:rPr>
          <w:rFonts w:ascii="Sakkal Majalla" w:eastAsia="Times New Roman" w:hAnsi="Sakkal Majalla" w:cs="Sakkal Majalla"/>
          <w:b/>
          <w:bCs/>
          <w:color w:val="000000"/>
          <w:sz w:val="32"/>
          <w:szCs w:val="32"/>
          <w:rtl/>
          <w:lang w:val="en-US" w:eastAsia="fr-FR" w:bidi="ar-MA"/>
        </w:rPr>
        <w:t>ما يتعلق بعدد من المشاريع العالقة أو تلك التي لم تحظ بالموافقة أو التي تم إرجاء الب</w:t>
      </w:r>
      <w:r w:rsidR="005D188E">
        <w:rPr>
          <w:rFonts w:ascii="Sakkal Majalla" w:eastAsia="Times New Roman" w:hAnsi="Sakkal Majalla" w:cs="Sakkal Majalla" w:hint="cs"/>
          <w:b/>
          <w:bCs/>
          <w:color w:val="000000"/>
          <w:sz w:val="32"/>
          <w:szCs w:val="32"/>
          <w:rtl/>
          <w:lang w:val="en-US" w:eastAsia="fr-FR" w:bidi="ar-MA"/>
        </w:rPr>
        <w:t>ت</w:t>
      </w:r>
      <w:r w:rsidRPr="00162E7A">
        <w:rPr>
          <w:rFonts w:ascii="Sakkal Majalla" w:eastAsia="Times New Roman" w:hAnsi="Sakkal Majalla" w:cs="Sakkal Majalla"/>
          <w:b/>
          <w:bCs/>
          <w:color w:val="000000"/>
          <w:sz w:val="32"/>
          <w:szCs w:val="32"/>
          <w:rtl/>
          <w:lang w:val="en-US" w:eastAsia="fr-FR" w:bidi="ar-MA"/>
        </w:rPr>
        <w:t xml:space="preserve"> فيها.</w:t>
      </w:r>
    </w:p>
    <w:p w:rsidR="0024194F" w:rsidRPr="00162E7A" w:rsidRDefault="0024194F" w:rsidP="005D188E">
      <w:pPr>
        <w:bidi/>
        <w:spacing w:after="200" w:line="276" w:lineRule="auto"/>
        <w:jc w:val="both"/>
        <w:rPr>
          <w:rFonts w:ascii="Sakkal Majalla" w:eastAsia="Times New Roman" w:hAnsi="Sakkal Majalla" w:cs="Sakkal Majalla"/>
          <w:b/>
          <w:bCs/>
          <w:color w:val="000000"/>
          <w:sz w:val="32"/>
          <w:szCs w:val="32"/>
          <w:lang w:val="en-US" w:eastAsia="fr-FR" w:bidi="ar-MA"/>
        </w:rPr>
      </w:pPr>
      <w:r w:rsidRPr="00162E7A">
        <w:rPr>
          <w:rFonts w:ascii="Sakkal Majalla" w:eastAsia="Times New Roman" w:hAnsi="Sakkal Majalla" w:cs="Sakkal Majalla"/>
          <w:b/>
          <w:bCs/>
          <w:color w:val="000000"/>
          <w:sz w:val="32"/>
          <w:szCs w:val="32"/>
          <w:rtl/>
          <w:lang w:val="en-US" w:eastAsia="fr-FR" w:bidi="ar-MA"/>
        </w:rPr>
        <w:t xml:space="preserve">وبهذا الخصوص، </w:t>
      </w:r>
      <w:r w:rsidR="005D188E">
        <w:rPr>
          <w:rFonts w:ascii="Sakkal Majalla" w:eastAsia="Times New Roman" w:hAnsi="Sakkal Majalla" w:cs="Sakkal Majalla" w:hint="cs"/>
          <w:b/>
          <w:bCs/>
          <w:color w:val="000000"/>
          <w:sz w:val="32"/>
          <w:szCs w:val="32"/>
          <w:rtl/>
          <w:lang w:val="en-US" w:eastAsia="fr-FR" w:bidi="ar-MA"/>
        </w:rPr>
        <w:t xml:space="preserve">تهدف </w:t>
      </w:r>
      <w:r w:rsidRPr="00162E7A">
        <w:rPr>
          <w:rFonts w:ascii="Sakkal Majalla" w:eastAsia="Times New Roman" w:hAnsi="Sakkal Majalla" w:cs="Sakkal Majalla"/>
          <w:b/>
          <w:bCs/>
          <w:color w:val="000000"/>
          <w:sz w:val="32"/>
          <w:szCs w:val="32"/>
          <w:rtl/>
          <w:lang w:val="en-US" w:eastAsia="fr-FR" w:bidi="ar-MA"/>
        </w:rPr>
        <w:t xml:space="preserve"> هذه الدورية  </w:t>
      </w:r>
      <w:r w:rsidR="005D188E">
        <w:rPr>
          <w:rFonts w:ascii="Sakkal Majalla" w:eastAsia="Times New Roman" w:hAnsi="Sakkal Majalla" w:cs="Sakkal Majalla" w:hint="cs"/>
          <w:b/>
          <w:bCs/>
          <w:color w:val="000000"/>
          <w:sz w:val="32"/>
          <w:szCs w:val="32"/>
          <w:rtl/>
          <w:lang w:val="en-US" w:eastAsia="fr-FR" w:bidi="ar-MA"/>
        </w:rPr>
        <w:t xml:space="preserve">إلى </w:t>
      </w:r>
      <w:r w:rsidRPr="00162E7A">
        <w:rPr>
          <w:rFonts w:ascii="Sakkal Majalla" w:eastAsia="Times New Roman" w:hAnsi="Sakkal Majalla" w:cs="Sakkal Majalla"/>
          <w:b/>
          <w:bCs/>
          <w:color w:val="000000"/>
          <w:sz w:val="32"/>
          <w:szCs w:val="32"/>
          <w:rtl/>
          <w:lang w:val="en-US" w:eastAsia="fr-FR" w:bidi="ar-MA"/>
        </w:rPr>
        <w:t xml:space="preserve">تدعيم المجهودات المبذولة من طرف السلطات العمومية عن طريق تحسيس وتعبئة كافة الأطر </w:t>
      </w:r>
      <w:r w:rsidR="005D188E">
        <w:rPr>
          <w:rFonts w:ascii="Sakkal Majalla" w:eastAsia="Times New Roman" w:hAnsi="Sakkal Majalla" w:cs="Sakkal Majalla" w:hint="cs"/>
          <w:b/>
          <w:bCs/>
          <w:color w:val="000000"/>
          <w:sz w:val="32"/>
          <w:szCs w:val="32"/>
          <w:rtl/>
          <w:lang w:val="en-US" w:eastAsia="fr-FR" w:bidi="ar-MA"/>
        </w:rPr>
        <w:t xml:space="preserve"> </w:t>
      </w:r>
      <w:r w:rsidRPr="00162E7A">
        <w:rPr>
          <w:rFonts w:ascii="Sakkal Majalla" w:eastAsia="Times New Roman" w:hAnsi="Sakkal Majalla" w:cs="Sakkal Majalla"/>
          <w:b/>
          <w:bCs/>
          <w:color w:val="000000"/>
          <w:sz w:val="32"/>
          <w:szCs w:val="32"/>
          <w:rtl/>
          <w:lang w:val="en-US" w:eastAsia="fr-FR" w:bidi="ar-MA"/>
        </w:rPr>
        <w:t xml:space="preserve">والمستخدمين العاملين بالوكالات الحضرية من أجل العمل على معالجة ملفات المشاريع المعنية مع وجوب الاقتصار على الملاحظات الجوهرية المتعلقة </w:t>
      </w:r>
      <w:proofErr w:type="spellStart"/>
      <w:r w:rsidRPr="00162E7A">
        <w:rPr>
          <w:rFonts w:ascii="Sakkal Majalla" w:eastAsia="Times New Roman" w:hAnsi="Sakkal Majalla" w:cs="Sakkal Majalla"/>
          <w:b/>
          <w:bCs/>
          <w:color w:val="000000"/>
          <w:sz w:val="32"/>
          <w:szCs w:val="32"/>
          <w:rtl/>
          <w:lang w:val="en-US" w:eastAsia="fr-FR" w:bidi="ar-MA"/>
        </w:rPr>
        <w:t>بالارتفاقات</w:t>
      </w:r>
      <w:proofErr w:type="spellEnd"/>
      <w:r w:rsidRPr="00162E7A">
        <w:rPr>
          <w:rFonts w:ascii="Sakkal Majalla" w:eastAsia="Times New Roman" w:hAnsi="Sakkal Majalla" w:cs="Sakkal Majalla"/>
          <w:b/>
          <w:bCs/>
          <w:color w:val="000000"/>
          <w:sz w:val="32"/>
          <w:szCs w:val="32"/>
          <w:rtl/>
          <w:lang w:val="en-US" w:eastAsia="fr-FR" w:bidi="ar-MA"/>
        </w:rPr>
        <w:t xml:space="preserve"> وقواعد التهيئة والبناء المتضمنة في وثائق التعمير وفي </w:t>
      </w:r>
      <w:proofErr w:type="spellStart"/>
      <w:r w:rsidRPr="00162E7A">
        <w:rPr>
          <w:rFonts w:ascii="Sakkal Majalla" w:eastAsia="Times New Roman" w:hAnsi="Sakkal Majalla" w:cs="Sakkal Majalla"/>
          <w:b/>
          <w:bCs/>
          <w:color w:val="000000"/>
          <w:sz w:val="32"/>
          <w:szCs w:val="32"/>
          <w:rtl/>
          <w:lang w:val="en-US" w:eastAsia="fr-FR" w:bidi="ar-MA"/>
        </w:rPr>
        <w:t>التجزئات</w:t>
      </w:r>
      <w:proofErr w:type="spellEnd"/>
      <w:r w:rsidRPr="00162E7A">
        <w:rPr>
          <w:rFonts w:ascii="Sakkal Majalla" w:eastAsia="Times New Roman" w:hAnsi="Sakkal Majalla" w:cs="Sakkal Majalla"/>
          <w:b/>
          <w:bCs/>
          <w:color w:val="000000"/>
          <w:sz w:val="32"/>
          <w:szCs w:val="32"/>
          <w:rtl/>
          <w:lang w:val="en-US" w:eastAsia="fr-FR" w:bidi="ar-MA"/>
        </w:rPr>
        <w:t xml:space="preserve"> المرخصة من قبيل عدد المستويات ومعامل استعمال الأرض والمقتضيات التي تمس حقوق الأغيار، إلخ؛</w:t>
      </w:r>
    </w:p>
    <w:p w:rsidR="0024194F" w:rsidRPr="00162E7A" w:rsidRDefault="0024194F" w:rsidP="005D188E">
      <w:pPr>
        <w:bidi/>
        <w:spacing w:after="200" w:line="276" w:lineRule="auto"/>
        <w:jc w:val="both"/>
        <w:rPr>
          <w:rFonts w:ascii="Sakkal Majalla" w:eastAsia="Times New Roman" w:hAnsi="Sakkal Majalla" w:cs="Sakkal Majalla"/>
          <w:b/>
          <w:bCs/>
          <w:color w:val="000000"/>
          <w:sz w:val="32"/>
          <w:szCs w:val="32"/>
          <w:rtl/>
          <w:lang w:val="en-US" w:eastAsia="fr-FR" w:bidi="ar-MA"/>
        </w:rPr>
      </w:pPr>
      <w:r w:rsidRPr="00162E7A">
        <w:rPr>
          <w:rFonts w:ascii="Sakkal Majalla" w:eastAsia="Times New Roman" w:hAnsi="Sakkal Majalla" w:cs="Sakkal Majalla"/>
          <w:b/>
          <w:bCs/>
          <w:color w:val="000000"/>
          <w:sz w:val="32"/>
          <w:szCs w:val="32"/>
          <w:rtl/>
          <w:lang w:val="en-US" w:eastAsia="fr-FR" w:bidi="ar-MA"/>
        </w:rPr>
        <w:lastRenderedPageBreak/>
        <w:t xml:space="preserve">كما حثت السيدة الوزيرة الوكالات الحضرية على العمل </w:t>
      </w:r>
      <w:r w:rsidR="005D188E">
        <w:rPr>
          <w:rFonts w:ascii="Sakkal Majalla" w:eastAsia="Times New Roman" w:hAnsi="Sakkal Majalla" w:cs="Sakkal Majalla" w:hint="cs"/>
          <w:b/>
          <w:bCs/>
          <w:color w:val="000000"/>
          <w:sz w:val="32"/>
          <w:szCs w:val="32"/>
          <w:rtl/>
          <w:lang w:val="en-US" w:eastAsia="fr-FR" w:bidi="ar-MA"/>
        </w:rPr>
        <w:t xml:space="preserve">من </w:t>
      </w:r>
      <w:proofErr w:type="gramStart"/>
      <w:r w:rsidR="005D188E">
        <w:rPr>
          <w:rFonts w:ascii="Sakkal Majalla" w:eastAsia="Times New Roman" w:hAnsi="Sakkal Majalla" w:cs="Sakkal Majalla" w:hint="cs"/>
          <w:b/>
          <w:bCs/>
          <w:color w:val="000000"/>
          <w:sz w:val="32"/>
          <w:szCs w:val="32"/>
          <w:rtl/>
          <w:lang w:val="en-US" w:eastAsia="fr-FR" w:bidi="ar-MA"/>
        </w:rPr>
        <w:t xml:space="preserve">أجل </w:t>
      </w:r>
      <w:r w:rsidRPr="00162E7A">
        <w:rPr>
          <w:rFonts w:ascii="Sakkal Majalla" w:eastAsia="Times New Roman" w:hAnsi="Sakkal Majalla" w:cs="Sakkal Majalla"/>
          <w:b/>
          <w:bCs/>
          <w:color w:val="000000"/>
          <w:sz w:val="32"/>
          <w:szCs w:val="32"/>
          <w:rtl/>
          <w:lang w:val="en-US" w:eastAsia="fr-FR" w:bidi="ar-MA"/>
        </w:rPr>
        <w:t xml:space="preserve"> تعميم</w:t>
      </w:r>
      <w:proofErr w:type="gramEnd"/>
      <w:r w:rsidRPr="00162E7A">
        <w:rPr>
          <w:rFonts w:ascii="Sakkal Majalla" w:eastAsia="Times New Roman" w:hAnsi="Sakkal Majalla" w:cs="Sakkal Majalla"/>
          <w:b/>
          <w:bCs/>
          <w:color w:val="000000"/>
          <w:sz w:val="32"/>
          <w:szCs w:val="32"/>
          <w:rtl/>
          <w:lang w:val="en-US" w:eastAsia="fr-FR" w:bidi="ar-MA"/>
        </w:rPr>
        <w:t xml:space="preserve"> خدمة الدراسة القبلية وإشراك المهنيين في معالجة المشاريع المودعة وتشجيع التبادل الالكتروني بهذا الصدد وكذا وضع المؤشرات الدالة وقاعدة معطيات رقمية لتتبع ملفات طلبات الترخيص.</w:t>
      </w:r>
    </w:p>
    <w:p w:rsidR="0024194F" w:rsidRPr="00162E7A" w:rsidRDefault="0024194F" w:rsidP="0024194F">
      <w:pPr>
        <w:widowControl w:val="0"/>
        <w:bidi/>
        <w:spacing w:after="120" w:line="288" w:lineRule="auto"/>
        <w:jc w:val="both"/>
        <w:rPr>
          <w:rFonts w:ascii="Sakkal Majalla" w:eastAsia="Times New Roman" w:hAnsi="Sakkal Majalla" w:cs="Sakkal Majalla"/>
          <w:b/>
          <w:bCs/>
          <w:color w:val="000000"/>
          <w:sz w:val="32"/>
          <w:szCs w:val="32"/>
          <w:lang w:val="en-US" w:eastAsia="fr-FR" w:bidi="ar-MA"/>
        </w:rPr>
      </w:pPr>
      <w:bookmarkStart w:id="0" w:name="_GoBack"/>
      <w:bookmarkEnd w:id="0"/>
      <w:r w:rsidRPr="00162E7A">
        <w:rPr>
          <w:rFonts w:ascii="Sakkal Majalla" w:eastAsia="Times New Roman" w:hAnsi="Sakkal Majalla" w:cs="Sakkal Majalla"/>
          <w:b/>
          <w:bCs/>
          <w:color w:val="000000"/>
          <w:sz w:val="32"/>
          <w:szCs w:val="32"/>
          <w:rtl/>
          <w:lang w:val="en-US" w:eastAsia="fr-FR" w:bidi="ar-MA"/>
        </w:rPr>
        <w:t xml:space="preserve">و </w:t>
      </w:r>
      <w:r w:rsidR="001966F2" w:rsidRPr="00162E7A">
        <w:rPr>
          <w:rFonts w:ascii="Sakkal Majalla" w:eastAsia="Times New Roman" w:hAnsi="Sakkal Majalla" w:cs="Sakkal Majalla" w:hint="cs"/>
          <w:b/>
          <w:bCs/>
          <w:color w:val="000000"/>
          <w:sz w:val="32"/>
          <w:szCs w:val="32"/>
          <w:rtl/>
          <w:lang w:val="en-US" w:eastAsia="fr-FR" w:bidi="ar-MA"/>
        </w:rPr>
        <w:t>تدعو الدورية</w:t>
      </w:r>
      <w:r w:rsidRPr="00162E7A">
        <w:rPr>
          <w:rFonts w:ascii="Sakkal Majalla" w:eastAsia="Times New Roman" w:hAnsi="Sakkal Majalla" w:cs="Sakkal Majalla"/>
          <w:b/>
          <w:bCs/>
          <w:color w:val="000000"/>
          <w:sz w:val="32"/>
          <w:szCs w:val="32"/>
          <w:rtl/>
          <w:lang w:val="en-US" w:eastAsia="fr-FR" w:bidi="ar-MA"/>
        </w:rPr>
        <w:t xml:space="preserve"> كذلك إلى جرد مجموع المشاريع العالقة، وخاصة تلك الخاضعة لمسطرة المشاريع الكبرى، وإعادة دراستها قبل متم شهر  يوليوز 2020</w:t>
      </w:r>
      <w:r w:rsidR="005D188E">
        <w:rPr>
          <w:rFonts w:ascii="Sakkal Majalla" w:eastAsia="Times New Roman" w:hAnsi="Sakkal Majalla" w:cs="Sakkal Majalla" w:hint="cs"/>
          <w:b/>
          <w:bCs/>
          <w:color w:val="000000"/>
          <w:sz w:val="32"/>
          <w:szCs w:val="32"/>
          <w:rtl/>
          <w:lang w:val="en-US" w:eastAsia="fr-FR" w:bidi="ar-MA"/>
        </w:rPr>
        <w:t>،</w:t>
      </w:r>
      <w:r w:rsidRPr="00162E7A">
        <w:rPr>
          <w:rFonts w:ascii="Sakkal Majalla" w:eastAsia="Times New Roman" w:hAnsi="Sakkal Majalla" w:cs="Sakkal Majalla"/>
          <w:b/>
          <w:bCs/>
          <w:color w:val="000000"/>
          <w:sz w:val="32"/>
          <w:szCs w:val="32"/>
          <w:rtl/>
          <w:lang w:val="en-US" w:eastAsia="fr-FR" w:bidi="ar-MA"/>
        </w:rPr>
        <w:t xml:space="preserve"> وذلك بحضور المهنيين المعنيين وفي إطار من التنسيق والتعاون المحكم بين كل الأطراف المتدخلة في هذا الميدان مع وجوب الاقتصار على الملاحظات الجوهرية.</w:t>
      </w:r>
    </w:p>
    <w:p w:rsidR="0024194F" w:rsidRPr="00162E7A" w:rsidRDefault="0024194F" w:rsidP="005D188E">
      <w:pPr>
        <w:bidi/>
        <w:spacing w:after="200" w:line="276" w:lineRule="auto"/>
        <w:jc w:val="both"/>
        <w:rPr>
          <w:rFonts w:ascii="Sakkal Majalla" w:eastAsia="Times New Roman" w:hAnsi="Sakkal Majalla" w:cs="Sakkal Majalla"/>
          <w:b/>
          <w:bCs/>
          <w:color w:val="000000"/>
          <w:sz w:val="32"/>
          <w:szCs w:val="32"/>
          <w:lang w:val="en-US" w:eastAsia="fr-FR" w:bidi="ar-MA"/>
        </w:rPr>
      </w:pPr>
      <w:r w:rsidRPr="00162E7A">
        <w:rPr>
          <w:rFonts w:ascii="Sakkal Majalla" w:eastAsia="Times New Roman" w:hAnsi="Sakkal Majalla" w:cs="Sakkal Majalla"/>
          <w:b/>
          <w:bCs/>
          <w:color w:val="000000"/>
          <w:sz w:val="32"/>
          <w:szCs w:val="32"/>
          <w:rtl/>
          <w:lang w:val="en-US" w:eastAsia="fr-FR" w:bidi="ar-MA"/>
        </w:rPr>
        <w:t xml:space="preserve">و من أجل تفعيل وضمان تتبع التوجيهات الواردة في هذه الدورية، دعت السيدة الوزيرة مديري الوكالات الحضرية </w:t>
      </w:r>
      <w:r w:rsidR="005D188E">
        <w:rPr>
          <w:rFonts w:ascii="Sakkal Majalla" w:eastAsia="Times New Roman" w:hAnsi="Sakkal Majalla" w:cs="Sakkal Majalla" w:hint="cs"/>
          <w:b/>
          <w:bCs/>
          <w:color w:val="000000"/>
          <w:sz w:val="32"/>
          <w:szCs w:val="32"/>
          <w:rtl/>
          <w:lang w:val="en-US" w:eastAsia="fr-FR" w:bidi="ar-MA"/>
        </w:rPr>
        <w:t>إلى السهر</w:t>
      </w:r>
      <w:r w:rsidRPr="00162E7A">
        <w:rPr>
          <w:rFonts w:ascii="Sakkal Majalla" w:eastAsia="Times New Roman" w:hAnsi="Sakkal Majalla" w:cs="Sakkal Majalla"/>
          <w:b/>
          <w:bCs/>
          <w:color w:val="000000"/>
          <w:sz w:val="32"/>
          <w:szCs w:val="32"/>
          <w:rtl/>
          <w:lang w:val="en-US" w:eastAsia="fr-FR" w:bidi="ar-MA"/>
        </w:rPr>
        <w:t xml:space="preserve"> شخصيا على اتخاذ كافة التدابير والإجراءات اللازمة وموافاة المصالح المركزية للوزارة بالجرد المفصل للمشاريع المعنية وبنتائج أشغال لجان إعادة الدراسة من خلال تقارير دورية متضمنة للمعطيات الضرورية وللصعوبات التي قد تعترض تنفيذ المقتضيات الواردة في هذه الدورية.</w:t>
      </w:r>
    </w:p>
    <w:p w:rsidR="0024194F" w:rsidRPr="00162E7A" w:rsidRDefault="0024194F" w:rsidP="0024194F">
      <w:pPr>
        <w:rPr>
          <w:b/>
          <w:bCs/>
          <w:sz w:val="24"/>
          <w:szCs w:val="24"/>
          <w:lang w:val="en-US"/>
        </w:rPr>
      </w:pPr>
    </w:p>
    <w:p w:rsidR="00162E7A" w:rsidRPr="00162E7A" w:rsidRDefault="00162E7A">
      <w:pPr>
        <w:rPr>
          <w:b/>
          <w:bCs/>
          <w:sz w:val="24"/>
          <w:szCs w:val="24"/>
          <w:lang w:val="en-US"/>
        </w:rPr>
      </w:pPr>
    </w:p>
    <w:sectPr w:rsidR="00162E7A" w:rsidRPr="00162E7A" w:rsidSect="005F5F31">
      <w:headerReference w:type="default" r:id="rId8"/>
      <w:footerReference w:type="default" r:id="rId9"/>
      <w:pgSz w:w="11906" w:h="16838"/>
      <w:pgMar w:top="7" w:right="1417" w:bottom="1702" w:left="1417" w:header="284" w:footer="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6C" w:rsidRDefault="009A416C" w:rsidP="009D5778">
      <w:pPr>
        <w:spacing w:after="0" w:line="240" w:lineRule="auto"/>
      </w:pPr>
      <w:r>
        <w:separator/>
      </w:r>
    </w:p>
  </w:endnote>
  <w:endnote w:type="continuationSeparator" w:id="0">
    <w:p w:rsidR="009A416C" w:rsidRDefault="009A416C" w:rsidP="009D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43" w:rsidRPr="00D1497C" w:rsidRDefault="00A40A03" w:rsidP="00A40A03">
    <w:pPr>
      <w:jc w:val="center"/>
      <w:rPr>
        <w:sz w:val="20"/>
        <w:szCs w:val="20"/>
      </w:rPr>
    </w:pPr>
    <w:r>
      <w:rPr>
        <w:rFonts w:ascii="Arabic Typesetting" w:hAnsi="Arabic Typesetting" w:cs="Arabic Typesetting"/>
        <w:b/>
        <w:bCs/>
        <w:sz w:val="30"/>
        <w:szCs w:val="30"/>
        <w:rtl/>
        <w:lang w:bidi="ar-MA"/>
      </w:rPr>
      <w:t>وزارة إعداد التراب الوطني والتعمير والاسكان وسياسة المدينة</w:t>
    </w:r>
    <w:r w:rsidR="00076F43">
      <w:rPr>
        <w:noProof/>
        <w:lang w:eastAsia="fr-FR"/>
      </w:rPr>
      <mc:AlternateContent>
        <mc:Choice Requires="wps">
          <w:drawing>
            <wp:anchor distT="0" distB="0" distL="114300" distR="114300" simplePos="0" relativeHeight="251662336" behindDoc="0" locked="0" layoutInCell="1" allowOverlap="1" wp14:anchorId="7EFE43CE" wp14:editId="7B7C1F42">
              <wp:simplePos x="0" y="0"/>
              <wp:positionH relativeFrom="margin">
                <wp:align>left</wp:align>
              </wp:positionH>
              <wp:positionV relativeFrom="paragraph">
                <wp:posOffset>193040</wp:posOffset>
              </wp:positionV>
              <wp:extent cx="5867400" cy="0"/>
              <wp:effectExtent l="0" t="0" r="19050" b="19050"/>
              <wp:wrapNone/>
              <wp:docPr id="59" name="Connecteur droit 59"/>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354DC2F" id="Connecteur droit 59"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5.2pt" to="4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" strokecolor="#538135 [2409]" strokeweight=".5pt">
              <v:stroke joinstyle="miter"/>
              <w10:wrap anchorx="margin"/>
            </v:line>
          </w:pict>
        </mc:Fallback>
      </mc:AlternateContent>
    </w:r>
  </w:p>
  <w:tbl>
    <w:tblPr>
      <w:tblStyle w:val="Grilledutableau"/>
      <w:tblW w:w="22886"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3"/>
      <w:gridCol w:w="11443"/>
    </w:tblGrid>
    <w:tr w:rsidR="00076F43" w:rsidRPr="00D1497C" w:rsidTr="003A1F54">
      <w:trPr>
        <w:trHeight w:val="426"/>
      </w:trPr>
      <w:tc>
        <w:tcPr>
          <w:tcW w:w="11443" w:type="dxa"/>
          <w:vAlign w:val="center"/>
        </w:tcPr>
        <w:p w:rsidR="00D1497C" w:rsidRPr="00D1497C" w:rsidRDefault="00D1497C" w:rsidP="00D1497C">
          <w:pPr>
            <w:rPr>
              <w:rFonts w:eastAsia="Times New Roman" w:cs="Sakkal Majalla"/>
              <w:sz w:val="20"/>
              <w:szCs w:val="20"/>
              <w:rtl/>
              <w:lang w:eastAsia="fr-FR" w:bidi="ar-MA"/>
            </w:rPr>
          </w:pPr>
          <w:r w:rsidRPr="00D1497C">
            <w:rPr>
              <w:rFonts w:eastAsia="Times New Roman" w:cs="Sakkal Majalla" w:hint="cs"/>
              <w:sz w:val="20"/>
              <w:szCs w:val="20"/>
              <w:rtl/>
              <w:lang w:eastAsia="fr-FR" w:bidi="ar-MA"/>
            </w:rPr>
            <w:t>إقامة</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فضاء</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النخيل</w:t>
          </w:r>
          <w:r w:rsidRPr="00D1497C">
            <w:rPr>
              <w:rFonts w:eastAsia="Times New Roman" w:cs="Sakkal Majalla"/>
              <w:sz w:val="20"/>
              <w:szCs w:val="20"/>
              <w:rtl/>
              <w:lang w:eastAsia="fr-FR" w:bidi="ar-MA"/>
            </w:rPr>
            <w:t xml:space="preserve"> 1</w:t>
          </w:r>
          <w:r w:rsidRPr="00D1497C">
            <w:rPr>
              <w:rFonts w:eastAsia="Times New Roman" w:cs="Sakkal Majalla" w:hint="cs"/>
              <w:sz w:val="20"/>
              <w:szCs w:val="20"/>
              <w:rtl/>
              <w:lang w:eastAsia="fr-FR" w:bidi="ar-MA"/>
            </w:rPr>
            <w:t>،</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زاوية</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شارع</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المعدي</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بنبركة</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والنخيل،</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حي</w:t>
          </w:r>
          <w:r w:rsidRPr="00D1497C">
            <w:rPr>
              <w:rFonts w:eastAsia="Times New Roman" w:cs="Sakkal Majalla"/>
              <w:sz w:val="20"/>
              <w:szCs w:val="20"/>
              <w:rtl/>
              <w:lang w:eastAsia="fr-FR" w:bidi="ar-MA"/>
            </w:rPr>
            <w:t xml:space="preserve"> </w:t>
          </w:r>
          <w:r w:rsidRPr="00D1497C">
            <w:rPr>
              <w:rFonts w:eastAsia="Times New Roman" w:cs="Sakkal Majalla" w:hint="cs"/>
              <w:sz w:val="20"/>
              <w:szCs w:val="20"/>
              <w:rtl/>
              <w:lang w:eastAsia="fr-FR" w:bidi="ar-MA"/>
            </w:rPr>
            <w:t>الرياض</w:t>
          </w:r>
          <w:r w:rsidRPr="00D1497C">
            <w:rPr>
              <w:rFonts w:eastAsia="Times New Roman" w:cs="Sakkal Majalla"/>
              <w:sz w:val="20"/>
              <w:szCs w:val="20"/>
              <w:rtl/>
              <w:lang w:eastAsia="fr-FR" w:bidi="ar-MA"/>
            </w:rPr>
            <w:t xml:space="preserve"> – </w:t>
          </w:r>
          <w:r w:rsidRPr="00D1497C">
            <w:rPr>
              <w:rFonts w:eastAsia="Times New Roman" w:cs="Sakkal Majalla" w:hint="cs"/>
              <w:sz w:val="20"/>
              <w:szCs w:val="20"/>
              <w:rtl/>
              <w:lang w:eastAsia="fr-FR" w:bidi="ar-MA"/>
            </w:rPr>
            <w:t>الرباط</w:t>
          </w:r>
          <w:r w:rsidRPr="00D1497C">
            <w:rPr>
              <w:rFonts w:eastAsia="Times New Roman" w:cs="Sakkal Majalla"/>
              <w:sz w:val="20"/>
              <w:szCs w:val="20"/>
              <w:lang w:eastAsia="fr-FR" w:bidi="ar-MA"/>
            </w:rPr>
            <w:t xml:space="preserve">- </w:t>
          </w:r>
          <w:proofErr w:type="spellStart"/>
          <w:r w:rsidRPr="00D1497C">
            <w:rPr>
              <w:rFonts w:eastAsia="Times New Roman" w:cs="Sakkal Majalla"/>
              <w:sz w:val="20"/>
              <w:szCs w:val="20"/>
              <w:lang w:eastAsia="fr-FR" w:bidi="ar-MA"/>
            </w:rPr>
            <w:t>Imm</w:t>
          </w:r>
          <w:proofErr w:type="spellEnd"/>
          <w:r w:rsidRPr="00D1497C">
            <w:rPr>
              <w:rFonts w:eastAsia="Times New Roman" w:cs="Sakkal Majalla"/>
              <w:sz w:val="20"/>
              <w:szCs w:val="20"/>
              <w:lang w:eastAsia="fr-FR" w:bidi="ar-MA"/>
            </w:rPr>
            <w:t xml:space="preserve"> </w:t>
          </w:r>
          <w:proofErr w:type="spellStart"/>
          <w:r w:rsidRPr="00D1497C">
            <w:rPr>
              <w:rFonts w:eastAsia="Times New Roman" w:cs="Sakkal Majalla"/>
              <w:sz w:val="20"/>
              <w:szCs w:val="20"/>
              <w:lang w:eastAsia="fr-FR" w:bidi="ar-MA"/>
            </w:rPr>
            <w:t>Fadaa</w:t>
          </w:r>
          <w:proofErr w:type="spellEnd"/>
          <w:r w:rsidRPr="00D1497C">
            <w:rPr>
              <w:rFonts w:eastAsia="Times New Roman" w:cs="Sakkal Majalla"/>
              <w:sz w:val="20"/>
              <w:szCs w:val="20"/>
              <w:lang w:eastAsia="fr-FR" w:bidi="ar-MA"/>
            </w:rPr>
            <w:t xml:space="preserve"> </w:t>
          </w:r>
          <w:proofErr w:type="spellStart"/>
          <w:r w:rsidRPr="00D1497C">
            <w:rPr>
              <w:rFonts w:eastAsia="Times New Roman" w:cs="Sakkal Majalla"/>
              <w:sz w:val="20"/>
              <w:szCs w:val="20"/>
              <w:lang w:eastAsia="fr-FR" w:bidi="ar-MA"/>
            </w:rPr>
            <w:t>Ennakhil</w:t>
          </w:r>
          <w:proofErr w:type="spellEnd"/>
          <w:r w:rsidRPr="00D1497C">
            <w:rPr>
              <w:rFonts w:eastAsia="Times New Roman" w:cs="Sakkal Majalla"/>
              <w:sz w:val="20"/>
              <w:szCs w:val="20"/>
              <w:lang w:eastAsia="fr-FR" w:bidi="ar-MA"/>
            </w:rPr>
            <w:t xml:space="preserve"> 1, Angle Av Mehdi </w:t>
          </w:r>
          <w:proofErr w:type="spellStart"/>
          <w:r w:rsidRPr="00D1497C">
            <w:rPr>
              <w:rFonts w:eastAsia="Times New Roman" w:cs="Sakkal Majalla"/>
              <w:sz w:val="20"/>
              <w:szCs w:val="20"/>
              <w:lang w:eastAsia="fr-FR" w:bidi="ar-MA"/>
            </w:rPr>
            <w:t>Benbarka</w:t>
          </w:r>
          <w:proofErr w:type="spellEnd"/>
          <w:r w:rsidRPr="00D1497C">
            <w:rPr>
              <w:rFonts w:eastAsia="Times New Roman" w:cs="Sakkal Majalla"/>
              <w:sz w:val="20"/>
              <w:szCs w:val="20"/>
              <w:lang w:eastAsia="fr-FR" w:bidi="ar-MA"/>
            </w:rPr>
            <w:t xml:space="preserve"> et </w:t>
          </w:r>
          <w:proofErr w:type="spellStart"/>
          <w:r w:rsidRPr="00D1497C">
            <w:rPr>
              <w:rFonts w:eastAsia="Times New Roman" w:cs="Sakkal Majalla"/>
              <w:sz w:val="20"/>
              <w:szCs w:val="20"/>
              <w:lang w:eastAsia="fr-FR" w:bidi="ar-MA"/>
            </w:rPr>
            <w:t>Annakhil</w:t>
          </w:r>
          <w:proofErr w:type="spellEnd"/>
          <w:r w:rsidRPr="00D1497C">
            <w:rPr>
              <w:rFonts w:eastAsia="Times New Roman" w:cs="Sakkal Majalla"/>
              <w:sz w:val="20"/>
              <w:szCs w:val="20"/>
              <w:lang w:eastAsia="fr-FR" w:bidi="ar-MA"/>
            </w:rPr>
            <w:t>, Hay Riad – Rabat</w:t>
          </w:r>
        </w:p>
        <w:p w:rsidR="00076F43" w:rsidRPr="00D1497C" w:rsidRDefault="00D1497C" w:rsidP="00D1497C">
          <w:pPr>
            <w:bidi/>
            <w:jc w:val="center"/>
            <w:rPr>
              <w:rFonts w:ascii="Sakkal Majalla" w:eastAsia="Times New Roman" w:hAnsi="Sakkal Majalla" w:cs="Sakkal Majalla"/>
              <w:b/>
              <w:bCs/>
              <w:sz w:val="20"/>
              <w:szCs w:val="20"/>
              <w:lang w:eastAsia="fr-FR" w:bidi="ar-MA"/>
            </w:rPr>
          </w:pPr>
          <w:proofErr w:type="gramStart"/>
          <w:r w:rsidRPr="00D1497C">
            <w:rPr>
              <w:rFonts w:eastAsia="Times New Roman" w:cs="Sakkal Majalla" w:hint="cs"/>
              <w:sz w:val="20"/>
              <w:szCs w:val="20"/>
              <w:rtl/>
              <w:lang w:eastAsia="fr-FR" w:bidi="ar-MA"/>
            </w:rPr>
            <w:t>الهاتف</w:t>
          </w:r>
          <w:r w:rsidRPr="00D1497C">
            <w:rPr>
              <w:rFonts w:eastAsia="Times New Roman" w:cs="Sakkal Majalla"/>
              <w:sz w:val="20"/>
              <w:szCs w:val="20"/>
              <w:rtl/>
              <w:lang w:eastAsia="fr-FR" w:bidi="ar-MA"/>
            </w:rPr>
            <w:t xml:space="preserve"> :</w:t>
          </w:r>
          <w:proofErr w:type="gramEnd"/>
          <w:r w:rsidRPr="00D1497C">
            <w:rPr>
              <w:rFonts w:eastAsia="Times New Roman" w:cs="Sakkal Majalla"/>
              <w:sz w:val="20"/>
              <w:szCs w:val="20"/>
              <w:rtl/>
              <w:lang w:eastAsia="fr-FR" w:bidi="ar-MA"/>
            </w:rPr>
            <w:t xml:space="preserve"> +(212) 0537 57 06 2162 / </w:t>
          </w:r>
          <w:r w:rsidRPr="00D1497C">
            <w:rPr>
              <w:rFonts w:eastAsia="Times New Roman" w:cs="Sakkal Majalla" w:hint="cs"/>
              <w:sz w:val="20"/>
              <w:szCs w:val="20"/>
              <w:rtl/>
              <w:lang w:eastAsia="fr-FR" w:bidi="ar-MA"/>
            </w:rPr>
            <w:t>الفاكس</w:t>
          </w:r>
          <w:r w:rsidRPr="00D1497C">
            <w:rPr>
              <w:rFonts w:eastAsia="Times New Roman" w:cs="Sakkal Majalla"/>
              <w:sz w:val="20"/>
              <w:szCs w:val="20"/>
              <w:rtl/>
              <w:lang w:eastAsia="fr-FR" w:bidi="ar-MA"/>
            </w:rPr>
            <w:t xml:space="preserve"> : +(212) 0537 57 2162 </w:t>
          </w:r>
          <w:r w:rsidRPr="00D1497C">
            <w:rPr>
              <w:rFonts w:eastAsia="Times New Roman" w:cs="Sakkal Majalla"/>
              <w:sz w:val="20"/>
              <w:szCs w:val="20"/>
              <w:lang w:eastAsia="fr-FR" w:bidi="ar-MA"/>
            </w:rPr>
            <w:t>Tél : +(212) 0537 57 06 2162/ Fax : +(212) 0537 57 2162 .</w:t>
          </w:r>
          <w:r w:rsidR="00076F43" w:rsidRPr="00D1497C">
            <w:rPr>
              <w:rFonts w:eastAsia="Times New Roman" w:cs="Sakkal Majalla"/>
              <w:sz w:val="20"/>
              <w:szCs w:val="20"/>
              <w:lang w:eastAsia="fr-FR" w:bidi="ar-MA"/>
            </w:rPr>
            <w:t xml:space="preserve"> </w:t>
          </w:r>
        </w:p>
      </w:tc>
      <w:tc>
        <w:tcPr>
          <w:tcW w:w="11443" w:type="dxa"/>
        </w:tcPr>
        <w:p w:rsidR="00076F43" w:rsidRPr="00D1497C" w:rsidRDefault="00076F43" w:rsidP="00076F43">
          <w:pPr>
            <w:pStyle w:val="Pieddepage"/>
            <w:jc w:val="center"/>
            <w:rPr>
              <w:sz w:val="20"/>
              <w:szCs w:val="20"/>
            </w:rPr>
          </w:pPr>
          <w:r w:rsidRPr="00D1497C">
            <w:rPr>
              <w:rFonts w:ascii="Arabic Typesetting" w:hAnsi="Arabic Typesetting" w:cs="Arabic Typesetting"/>
              <w:b/>
              <w:bCs/>
              <w:sz w:val="28"/>
              <w:szCs w:val="28"/>
              <w:rtl/>
              <w:lang w:bidi="ar-MA"/>
            </w:rPr>
            <w:t xml:space="preserve">وزارة إعداد التراب الوطني </w:t>
          </w:r>
          <w:r w:rsidRPr="00D1497C">
            <w:rPr>
              <w:rFonts w:ascii="Arabic Typesetting" w:hAnsi="Arabic Typesetting" w:cs="Arabic Typesetting" w:hint="cs"/>
              <w:b/>
              <w:bCs/>
              <w:sz w:val="28"/>
              <w:szCs w:val="28"/>
              <w:rtl/>
              <w:lang w:bidi="ar-MA"/>
            </w:rPr>
            <w:t>والتعمير والاسكان وسياسة المدينة</w:t>
          </w:r>
        </w:p>
      </w:tc>
    </w:tr>
  </w:tbl>
  <w:p w:rsidR="009D5778" w:rsidRDefault="009D57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6C" w:rsidRDefault="009A416C" w:rsidP="009D5778">
      <w:pPr>
        <w:spacing w:after="0" w:line="240" w:lineRule="auto"/>
      </w:pPr>
      <w:r>
        <w:separator/>
      </w:r>
    </w:p>
  </w:footnote>
  <w:footnote w:type="continuationSeparator" w:id="0">
    <w:p w:rsidR="009A416C" w:rsidRDefault="009A416C" w:rsidP="009D5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1162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2409"/>
      <w:gridCol w:w="4678"/>
    </w:tblGrid>
    <w:tr w:rsidR="00F77F81" w:rsidTr="00F77F81">
      <w:tc>
        <w:tcPr>
          <w:tcW w:w="4537" w:type="dxa"/>
        </w:tcPr>
        <w:p w:rsidR="00F77F81" w:rsidRPr="00F77F81" w:rsidRDefault="00F77F81" w:rsidP="00F77F81">
          <w:pPr>
            <w:pStyle w:val="En-tte"/>
            <w:jc w:val="center"/>
            <w:rPr>
              <w:rFonts w:ascii="Ebrima" w:hAnsi="Ebrima" w:cs="Ebrima"/>
              <w:b/>
              <w:bCs/>
              <w:sz w:val="18"/>
              <w:szCs w:val="18"/>
            </w:rPr>
          </w:pPr>
          <w:r w:rsidRPr="004403B5">
            <w:rPr>
              <w:rFonts w:ascii="Ebrima" w:hAnsi="Ebrima" w:cs="Ebrima"/>
              <w:b/>
              <w:bCs/>
              <w:sz w:val="18"/>
              <w:szCs w:val="18"/>
            </w:rPr>
            <w:t>ⵜⴰⴳⵍⴷⵉⵜ   ⵏ   ⵍⵎⴰⵖⵔⵉⴱ</w:t>
          </w:r>
        </w:p>
      </w:tc>
      <w:tc>
        <w:tcPr>
          <w:tcW w:w="2409" w:type="dxa"/>
          <w:vMerge w:val="restart"/>
        </w:tcPr>
        <w:p w:rsidR="00F77F81" w:rsidRDefault="00F77F81">
          <w:pPr>
            <w:pStyle w:val="En-tte"/>
          </w:pPr>
          <w:r>
            <w:rPr>
              <w:noProof/>
              <w:lang w:eastAsia="fr-FR"/>
            </w:rPr>
            <w:drawing>
              <wp:anchor distT="0" distB="0" distL="114300" distR="114300" simplePos="0" relativeHeight="251658240" behindDoc="0" locked="0" layoutInCell="1" allowOverlap="1" wp14:anchorId="760F88DD" wp14:editId="4D028271">
                <wp:simplePos x="0" y="0"/>
                <wp:positionH relativeFrom="margin">
                  <wp:posOffset>227330</wp:posOffset>
                </wp:positionH>
                <wp:positionV relativeFrom="margin">
                  <wp:posOffset>162560</wp:posOffset>
                </wp:positionV>
                <wp:extent cx="1019810" cy="1054100"/>
                <wp:effectExtent l="0" t="0" r="8890" b="0"/>
                <wp:wrapSquare wrapText="bothSides"/>
                <wp:docPr id="14" name="Image 14" descr="158967022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89670226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1054100"/>
                        </a:xfrm>
                        <a:prstGeom prst="rect">
                          <a:avLst/>
                        </a:prstGeom>
                        <a:noFill/>
                      </pic:spPr>
                    </pic:pic>
                  </a:graphicData>
                </a:graphic>
                <wp14:sizeRelH relativeFrom="page">
                  <wp14:pctWidth>0</wp14:pctWidth>
                </wp14:sizeRelH>
                <wp14:sizeRelV relativeFrom="page">
                  <wp14:pctHeight>0</wp14:pctHeight>
                </wp14:sizeRelV>
              </wp:anchor>
            </w:drawing>
          </w:r>
        </w:p>
      </w:tc>
      <w:tc>
        <w:tcPr>
          <w:tcW w:w="4678" w:type="dxa"/>
        </w:tcPr>
        <w:p w:rsidR="00F77F81" w:rsidRPr="00C402DF" w:rsidRDefault="00F77F81" w:rsidP="00F77F81">
          <w:pPr>
            <w:pStyle w:val="En-tte"/>
            <w:jc w:val="center"/>
            <w:rPr>
              <w:rFonts w:ascii="Sakkal Majalla" w:hAnsi="Sakkal Majalla" w:cs="Sakkal Majalla"/>
              <w:sz w:val="28"/>
              <w:szCs w:val="28"/>
            </w:rPr>
          </w:pPr>
          <w:r w:rsidRPr="00C402DF">
            <w:rPr>
              <w:rFonts w:ascii="Sakkal Majalla" w:hAnsi="Sakkal Majalla" w:cs="Sakkal Majalla"/>
              <w:b/>
              <w:bCs/>
              <w:sz w:val="28"/>
              <w:szCs w:val="28"/>
              <w:rtl/>
              <w:lang w:bidi="ar-MA"/>
            </w:rPr>
            <w:t>المملكة المغربية</w:t>
          </w:r>
        </w:p>
      </w:tc>
    </w:tr>
    <w:tr w:rsidR="00F77F81" w:rsidTr="00F77F81">
      <w:tc>
        <w:tcPr>
          <w:tcW w:w="4537" w:type="dxa"/>
        </w:tcPr>
        <w:p w:rsidR="00F77F81" w:rsidRDefault="00F77F81" w:rsidP="00F77F81">
          <w:pPr>
            <w:pStyle w:val="En-tte"/>
            <w:jc w:val="center"/>
          </w:pPr>
          <w:r w:rsidRPr="004403B5">
            <w:rPr>
              <w:rFonts w:ascii="Ebrima" w:hAnsi="Ebrima" w:cs="Ebrima"/>
              <w:b/>
              <w:bCs/>
              <w:sz w:val="18"/>
              <w:szCs w:val="18"/>
            </w:rPr>
            <w:t>ⵜⴰⵎⴰⵡⴰⵙⵜ</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ⵏ</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ⵓⵙⵎⵙⴰⵙⴰ</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ⵏ</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ⵡⴰⴽⴰⵍ</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ⴰⵏⴰⵎⵓⵔ</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ⴷ</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ⵓⵙⴽⴰⵡ</w:t>
          </w:r>
        </w:p>
      </w:tc>
      <w:tc>
        <w:tcPr>
          <w:tcW w:w="2409" w:type="dxa"/>
          <w:vMerge/>
        </w:tcPr>
        <w:p w:rsidR="00F77F81" w:rsidRDefault="00F77F81">
          <w:pPr>
            <w:pStyle w:val="En-tte"/>
          </w:pPr>
        </w:p>
      </w:tc>
      <w:tc>
        <w:tcPr>
          <w:tcW w:w="4678" w:type="dxa"/>
        </w:tcPr>
        <w:p w:rsidR="00F77F81" w:rsidRPr="00C402DF" w:rsidRDefault="00F77F81" w:rsidP="00F77F81">
          <w:pPr>
            <w:pStyle w:val="En-tte"/>
            <w:jc w:val="center"/>
            <w:rPr>
              <w:rFonts w:ascii="Sakkal Majalla" w:hAnsi="Sakkal Majalla" w:cs="Sakkal Majalla"/>
              <w:sz w:val="28"/>
              <w:szCs w:val="28"/>
            </w:rPr>
          </w:pPr>
          <w:r w:rsidRPr="00C402DF">
            <w:rPr>
              <w:rFonts w:ascii="Sakkal Majalla" w:hAnsi="Sakkal Majalla" w:cs="Sakkal Majalla"/>
              <w:b/>
              <w:bCs/>
              <w:sz w:val="28"/>
              <w:szCs w:val="28"/>
              <w:rtl/>
              <w:lang w:bidi="ar-MA"/>
            </w:rPr>
            <w:t xml:space="preserve">وزارة إعداد التراب الوطني </w:t>
          </w:r>
          <w:r w:rsidR="00136A6B" w:rsidRPr="00C402DF">
            <w:rPr>
              <w:rFonts w:ascii="Sakkal Majalla" w:hAnsi="Sakkal Majalla" w:cs="Sakkal Majalla"/>
              <w:b/>
              <w:bCs/>
              <w:sz w:val="28"/>
              <w:szCs w:val="28"/>
              <w:rtl/>
              <w:lang w:bidi="ar-MA"/>
            </w:rPr>
            <w:t>والتعمير</w:t>
          </w:r>
        </w:p>
      </w:tc>
    </w:tr>
    <w:tr w:rsidR="00F77F81" w:rsidTr="00F77F81">
      <w:tc>
        <w:tcPr>
          <w:tcW w:w="4537" w:type="dxa"/>
        </w:tcPr>
        <w:p w:rsidR="00F77F81" w:rsidRPr="00F77F81" w:rsidRDefault="00F77F81" w:rsidP="00F77F81">
          <w:pPr>
            <w:jc w:val="center"/>
            <w:rPr>
              <w:rFonts w:ascii="Ebrima" w:hAnsi="Ebrima" w:cs="Ebrima"/>
              <w:b/>
              <w:bCs/>
              <w:sz w:val="18"/>
              <w:szCs w:val="18"/>
            </w:rPr>
          </w:pPr>
          <w:r w:rsidRPr="004403B5">
            <w:rPr>
              <w:rFonts w:ascii="Ebrima" w:hAnsi="Ebrima" w:cs="Ebrima"/>
              <w:b/>
              <w:bCs/>
              <w:sz w:val="18"/>
              <w:szCs w:val="18"/>
            </w:rPr>
            <w:t>ⴷ</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ⵜⵣⴷⵓⵖⵜ</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ⵜⵙⵔⵜⵉⵜ</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ⵏ</w:t>
          </w:r>
          <w:r w:rsidRPr="004403B5">
            <w:rPr>
              <w:rFonts w:ascii="Arabic Typesetting" w:hAnsi="Arabic Typesetting" w:cs="Arabic Typesetting"/>
              <w:b/>
              <w:bCs/>
              <w:sz w:val="18"/>
              <w:szCs w:val="18"/>
            </w:rPr>
            <w:t xml:space="preserve">  </w:t>
          </w:r>
          <w:r w:rsidRPr="004403B5">
            <w:rPr>
              <w:rFonts w:ascii="Ebrima" w:hAnsi="Ebrima" w:cs="Ebrima"/>
              <w:b/>
              <w:bCs/>
              <w:sz w:val="18"/>
              <w:szCs w:val="18"/>
            </w:rPr>
            <w:t>ⵜⵎⴷⵉⵏⵜ</w:t>
          </w:r>
        </w:p>
      </w:tc>
      <w:tc>
        <w:tcPr>
          <w:tcW w:w="2409" w:type="dxa"/>
          <w:vMerge/>
        </w:tcPr>
        <w:p w:rsidR="00F77F81" w:rsidRDefault="00F77F81">
          <w:pPr>
            <w:pStyle w:val="En-tte"/>
          </w:pPr>
        </w:p>
      </w:tc>
      <w:tc>
        <w:tcPr>
          <w:tcW w:w="4678" w:type="dxa"/>
        </w:tcPr>
        <w:p w:rsidR="00F77F81" w:rsidRPr="00C402DF" w:rsidRDefault="00136A6B" w:rsidP="00F77F81">
          <w:pPr>
            <w:pStyle w:val="En-tte"/>
            <w:jc w:val="center"/>
            <w:rPr>
              <w:rFonts w:ascii="Sakkal Majalla" w:hAnsi="Sakkal Majalla" w:cs="Sakkal Majalla"/>
              <w:sz w:val="28"/>
              <w:szCs w:val="28"/>
            </w:rPr>
          </w:pPr>
          <w:r w:rsidRPr="00C402DF">
            <w:rPr>
              <w:rFonts w:ascii="Sakkal Majalla" w:hAnsi="Sakkal Majalla" w:cs="Sakkal Majalla"/>
              <w:b/>
              <w:bCs/>
              <w:sz w:val="28"/>
              <w:szCs w:val="28"/>
              <w:rtl/>
              <w:lang w:bidi="ar-MA"/>
            </w:rPr>
            <w:t>والإسكان وسياسة المدينة</w:t>
          </w:r>
        </w:p>
      </w:tc>
    </w:tr>
    <w:tr w:rsidR="00F77F81" w:rsidTr="00F77F81">
      <w:tc>
        <w:tcPr>
          <w:tcW w:w="4537" w:type="dxa"/>
        </w:tcPr>
        <w:p w:rsidR="00F77F81" w:rsidRPr="00275578" w:rsidRDefault="00F77F81" w:rsidP="00275578">
          <w:pPr>
            <w:shd w:val="clear" w:color="auto" w:fill="FFFFFF"/>
            <w:jc w:val="center"/>
            <w:rPr>
              <w:rFonts w:ascii="Segoe UI" w:eastAsia="Times New Roman" w:hAnsi="Segoe UI" w:cs="Segoe UI"/>
              <w:color w:val="000000"/>
              <w:sz w:val="20"/>
              <w:szCs w:val="20"/>
              <w:lang w:eastAsia="fr-FR"/>
            </w:rPr>
          </w:pPr>
        </w:p>
      </w:tc>
      <w:tc>
        <w:tcPr>
          <w:tcW w:w="2409" w:type="dxa"/>
          <w:vMerge/>
        </w:tcPr>
        <w:p w:rsidR="00F77F81" w:rsidRDefault="00F77F81">
          <w:pPr>
            <w:pStyle w:val="En-tte"/>
          </w:pPr>
        </w:p>
      </w:tc>
      <w:tc>
        <w:tcPr>
          <w:tcW w:w="4678" w:type="dxa"/>
        </w:tcPr>
        <w:p w:rsidR="00F77F81" w:rsidRPr="00C402DF" w:rsidRDefault="00F77F81" w:rsidP="00275578">
          <w:pPr>
            <w:pStyle w:val="En-tte"/>
            <w:bidi/>
            <w:jc w:val="center"/>
            <w:rPr>
              <w:rFonts w:ascii="Sakkal Majalla" w:hAnsi="Sakkal Majalla" w:cs="Sakkal Majalla"/>
              <w:sz w:val="28"/>
              <w:szCs w:val="28"/>
            </w:rPr>
          </w:pPr>
        </w:p>
      </w:tc>
    </w:tr>
  </w:tbl>
  <w:p w:rsidR="009D5778" w:rsidRDefault="009D577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A191D"/>
    <w:multiLevelType w:val="hybridMultilevel"/>
    <w:tmpl w:val="DA72C9E4"/>
    <w:lvl w:ilvl="0" w:tplc="F1527422">
      <w:numFmt w:val="bullet"/>
      <w:lvlText w:val="-"/>
      <w:lvlJc w:val="left"/>
      <w:pPr>
        <w:ind w:left="720" w:hanging="360"/>
      </w:pPr>
      <w:rPr>
        <w:rFonts w:ascii="Sakkal Majalla" w:eastAsiaTheme="minorHAnsi" w:hAnsi="Sakkal Majalla" w:cs="Sakkal Majalla"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AD"/>
    <w:rsid w:val="000278AA"/>
    <w:rsid w:val="00072727"/>
    <w:rsid w:val="00076F43"/>
    <w:rsid w:val="00136A6B"/>
    <w:rsid w:val="00150F0D"/>
    <w:rsid w:val="00162E7A"/>
    <w:rsid w:val="001714A4"/>
    <w:rsid w:val="00180E93"/>
    <w:rsid w:val="001966F2"/>
    <w:rsid w:val="0024194F"/>
    <w:rsid w:val="00262DAF"/>
    <w:rsid w:val="00275578"/>
    <w:rsid w:val="00285E40"/>
    <w:rsid w:val="00287B16"/>
    <w:rsid w:val="002B3B28"/>
    <w:rsid w:val="002B56D0"/>
    <w:rsid w:val="003A4863"/>
    <w:rsid w:val="004175A7"/>
    <w:rsid w:val="004403B5"/>
    <w:rsid w:val="005058A7"/>
    <w:rsid w:val="005D188E"/>
    <w:rsid w:val="005E07FB"/>
    <w:rsid w:val="005F5F31"/>
    <w:rsid w:val="00673B51"/>
    <w:rsid w:val="007161C8"/>
    <w:rsid w:val="007F30B3"/>
    <w:rsid w:val="00853119"/>
    <w:rsid w:val="00874B06"/>
    <w:rsid w:val="008F0C72"/>
    <w:rsid w:val="008F0CFA"/>
    <w:rsid w:val="009814D7"/>
    <w:rsid w:val="009A416C"/>
    <w:rsid w:val="009D5778"/>
    <w:rsid w:val="009D5C83"/>
    <w:rsid w:val="00A40A03"/>
    <w:rsid w:val="00A7733E"/>
    <w:rsid w:val="00A77F97"/>
    <w:rsid w:val="00A86940"/>
    <w:rsid w:val="00A97D39"/>
    <w:rsid w:val="00AC447B"/>
    <w:rsid w:val="00AD40EF"/>
    <w:rsid w:val="00AD4F63"/>
    <w:rsid w:val="00B05909"/>
    <w:rsid w:val="00B321D3"/>
    <w:rsid w:val="00B6050A"/>
    <w:rsid w:val="00B91C7E"/>
    <w:rsid w:val="00C304D3"/>
    <w:rsid w:val="00C402DF"/>
    <w:rsid w:val="00C70E1B"/>
    <w:rsid w:val="00C803D4"/>
    <w:rsid w:val="00C86741"/>
    <w:rsid w:val="00CB4338"/>
    <w:rsid w:val="00CE06CF"/>
    <w:rsid w:val="00D11E99"/>
    <w:rsid w:val="00D1497C"/>
    <w:rsid w:val="00D440D4"/>
    <w:rsid w:val="00D615E2"/>
    <w:rsid w:val="00D63DBC"/>
    <w:rsid w:val="00D93DBC"/>
    <w:rsid w:val="00DA2FC4"/>
    <w:rsid w:val="00E0476C"/>
    <w:rsid w:val="00E36AEF"/>
    <w:rsid w:val="00E52E15"/>
    <w:rsid w:val="00E75C12"/>
    <w:rsid w:val="00F30989"/>
    <w:rsid w:val="00F77F81"/>
    <w:rsid w:val="00F921AD"/>
    <w:rsid w:val="00FC63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180E93"/>
    <w:pPr>
      <w:keepNext/>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5778"/>
    <w:pPr>
      <w:tabs>
        <w:tab w:val="center" w:pos="4536"/>
        <w:tab w:val="right" w:pos="9072"/>
      </w:tabs>
      <w:spacing w:after="0" w:line="240" w:lineRule="auto"/>
    </w:pPr>
  </w:style>
  <w:style w:type="character" w:customStyle="1" w:styleId="En-tteCar">
    <w:name w:val="En-tête Car"/>
    <w:basedOn w:val="Policepardfaut"/>
    <w:link w:val="En-tte"/>
    <w:uiPriority w:val="99"/>
    <w:rsid w:val="009D5778"/>
  </w:style>
  <w:style w:type="paragraph" w:styleId="Pieddepage">
    <w:name w:val="footer"/>
    <w:basedOn w:val="Normal"/>
    <w:link w:val="PieddepageCar"/>
    <w:uiPriority w:val="99"/>
    <w:unhideWhenUsed/>
    <w:rsid w:val="009D57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5778"/>
  </w:style>
  <w:style w:type="table" w:styleId="Grilledutableau">
    <w:name w:val="Table Grid"/>
    <w:basedOn w:val="TableauNormal"/>
    <w:uiPriority w:val="39"/>
    <w:rsid w:val="009D5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99"/>
    <w:qFormat/>
    <w:rsid w:val="009D5778"/>
    <w:pPr>
      <w:spacing w:after="0"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4403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03B5"/>
    <w:rPr>
      <w:rFonts w:ascii="Segoe UI" w:hAnsi="Segoe UI" w:cs="Segoe UI"/>
      <w:sz w:val="18"/>
      <w:szCs w:val="18"/>
    </w:rPr>
  </w:style>
  <w:style w:type="character" w:customStyle="1" w:styleId="Titre4Car">
    <w:name w:val="Titre 4 Car"/>
    <w:basedOn w:val="Policepardfaut"/>
    <w:link w:val="Titre4"/>
    <w:rsid w:val="00180E93"/>
    <w:rPr>
      <w:rFonts w:ascii="Times New Roman" w:eastAsia="Times New Roman" w:hAnsi="Times New Roman" w:cs="Times New Roman"/>
      <w:b/>
      <w:bCs/>
      <w:sz w:val="28"/>
      <w:szCs w:val="28"/>
      <w:lang w:eastAsia="fr-FR"/>
    </w:rPr>
  </w:style>
  <w:style w:type="paragraph" w:styleId="Paragraphedeliste">
    <w:name w:val="List Paragraph"/>
    <w:basedOn w:val="Normal"/>
    <w:uiPriority w:val="34"/>
    <w:qFormat/>
    <w:rsid w:val="00180E93"/>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180E93"/>
    <w:pPr>
      <w:keepNext/>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5778"/>
    <w:pPr>
      <w:tabs>
        <w:tab w:val="center" w:pos="4536"/>
        <w:tab w:val="right" w:pos="9072"/>
      </w:tabs>
      <w:spacing w:after="0" w:line="240" w:lineRule="auto"/>
    </w:pPr>
  </w:style>
  <w:style w:type="character" w:customStyle="1" w:styleId="En-tteCar">
    <w:name w:val="En-tête Car"/>
    <w:basedOn w:val="Policepardfaut"/>
    <w:link w:val="En-tte"/>
    <w:uiPriority w:val="99"/>
    <w:rsid w:val="009D5778"/>
  </w:style>
  <w:style w:type="paragraph" w:styleId="Pieddepage">
    <w:name w:val="footer"/>
    <w:basedOn w:val="Normal"/>
    <w:link w:val="PieddepageCar"/>
    <w:uiPriority w:val="99"/>
    <w:unhideWhenUsed/>
    <w:rsid w:val="009D57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5778"/>
  </w:style>
  <w:style w:type="table" w:styleId="Grilledutableau">
    <w:name w:val="Table Grid"/>
    <w:basedOn w:val="TableauNormal"/>
    <w:uiPriority w:val="39"/>
    <w:rsid w:val="009D5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99"/>
    <w:qFormat/>
    <w:rsid w:val="009D5778"/>
    <w:pPr>
      <w:spacing w:after="0"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4403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03B5"/>
    <w:rPr>
      <w:rFonts w:ascii="Segoe UI" w:hAnsi="Segoe UI" w:cs="Segoe UI"/>
      <w:sz w:val="18"/>
      <w:szCs w:val="18"/>
    </w:rPr>
  </w:style>
  <w:style w:type="character" w:customStyle="1" w:styleId="Titre4Car">
    <w:name w:val="Titre 4 Car"/>
    <w:basedOn w:val="Policepardfaut"/>
    <w:link w:val="Titre4"/>
    <w:rsid w:val="00180E93"/>
    <w:rPr>
      <w:rFonts w:ascii="Times New Roman" w:eastAsia="Times New Roman" w:hAnsi="Times New Roman" w:cs="Times New Roman"/>
      <w:b/>
      <w:bCs/>
      <w:sz w:val="28"/>
      <w:szCs w:val="28"/>
      <w:lang w:eastAsia="fr-FR"/>
    </w:rPr>
  </w:style>
  <w:style w:type="paragraph" w:styleId="Paragraphedeliste">
    <w:name w:val="List Paragraph"/>
    <w:basedOn w:val="Normal"/>
    <w:uiPriority w:val="34"/>
    <w:qFormat/>
    <w:rsid w:val="00180E93"/>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5596">
      <w:bodyDiv w:val="1"/>
      <w:marLeft w:val="0"/>
      <w:marRight w:val="0"/>
      <w:marTop w:val="0"/>
      <w:marBottom w:val="0"/>
      <w:divBdr>
        <w:top w:val="none" w:sz="0" w:space="0" w:color="auto"/>
        <w:left w:val="none" w:sz="0" w:space="0" w:color="auto"/>
        <w:bottom w:val="none" w:sz="0" w:space="0" w:color="auto"/>
        <w:right w:val="none" w:sz="0" w:space="0" w:color="auto"/>
      </w:divBdr>
    </w:div>
    <w:div w:id="751127674">
      <w:bodyDiv w:val="1"/>
      <w:marLeft w:val="0"/>
      <w:marRight w:val="0"/>
      <w:marTop w:val="0"/>
      <w:marBottom w:val="0"/>
      <w:divBdr>
        <w:top w:val="none" w:sz="0" w:space="0" w:color="auto"/>
        <w:left w:val="none" w:sz="0" w:space="0" w:color="auto"/>
        <w:bottom w:val="none" w:sz="0" w:space="0" w:color="auto"/>
        <w:right w:val="none" w:sz="0" w:space="0" w:color="auto"/>
      </w:divBdr>
    </w:div>
    <w:div w:id="2118863533">
      <w:bodyDiv w:val="1"/>
      <w:marLeft w:val="0"/>
      <w:marRight w:val="0"/>
      <w:marTop w:val="0"/>
      <w:marBottom w:val="0"/>
      <w:divBdr>
        <w:top w:val="none" w:sz="0" w:space="0" w:color="auto"/>
        <w:left w:val="none" w:sz="0" w:space="0" w:color="auto"/>
        <w:bottom w:val="none" w:sz="0" w:space="0" w:color="auto"/>
        <w:right w:val="none" w:sz="0" w:space="0" w:color="auto"/>
      </w:divBdr>
      <w:divsChild>
        <w:div w:id="14818586">
          <w:marLeft w:val="0"/>
          <w:marRight w:val="0"/>
          <w:marTop w:val="0"/>
          <w:marBottom w:val="0"/>
          <w:divBdr>
            <w:top w:val="none" w:sz="0" w:space="0" w:color="auto"/>
            <w:left w:val="none" w:sz="0" w:space="0" w:color="auto"/>
            <w:bottom w:val="none" w:sz="0" w:space="0" w:color="auto"/>
            <w:right w:val="none" w:sz="0" w:space="0" w:color="auto"/>
          </w:divBdr>
          <w:divsChild>
            <w:div w:id="1363364866">
              <w:marLeft w:val="0"/>
              <w:marRight w:val="0"/>
              <w:marTop w:val="0"/>
              <w:marBottom w:val="0"/>
              <w:divBdr>
                <w:top w:val="none" w:sz="0" w:space="0" w:color="auto"/>
                <w:left w:val="none" w:sz="0" w:space="0" w:color="auto"/>
                <w:bottom w:val="none" w:sz="0" w:space="0" w:color="auto"/>
                <w:right w:val="none" w:sz="0" w:space="0" w:color="auto"/>
              </w:divBdr>
              <w:divsChild>
                <w:div w:id="1814716735">
                  <w:marLeft w:val="0"/>
                  <w:marRight w:val="0"/>
                  <w:marTop w:val="0"/>
                  <w:marBottom w:val="0"/>
                  <w:divBdr>
                    <w:top w:val="none" w:sz="0" w:space="0" w:color="auto"/>
                    <w:left w:val="none" w:sz="0" w:space="0" w:color="auto"/>
                    <w:bottom w:val="none" w:sz="0" w:space="0" w:color="auto"/>
                    <w:right w:val="none" w:sz="0" w:space="0" w:color="auto"/>
                  </w:divBdr>
                  <w:divsChild>
                    <w:div w:id="7328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1996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cp:lastPrinted>2018-11-16T10:46:00Z</cp:lastPrinted>
  <dcterms:created xsi:type="dcterms:W3CDTF">2020-05-19T22:39:00Z</dcterms:created>
  <dcterms:modified xsi:type="dcterms:W3CDTF">2020-05-19T22:39:00Z</dcterms:modified>
</cp:coreProperties>
</file>